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F8" w:rsidRPr="00F2634A" w:rsidRDefault="00AD70F8" w:rsidP="00AD70F8">
      <w:pPr>
        <w:pStyle w:val="Prrafodelista"/>
        <w:numPr>
          <w:ilvl w:val="0"/>
          <w:numId w:val="1"/>
        </w:numPr>
        <w:shd w:val="clear" w:color="auto" w:fill="FFFFFF"/>
        <w:spacing w:after="0" w:line="240" w:lineRule="auto"/>
        <w:jc w:val="both"/>
        <w:rPr>
          <w:rFonts w:ascii="Tahoma" w:hAnsi="Tahoma" w:cs="Tahoma"/>
          <w:sz w:val="18"/>
          <w:szCs w:val="18"/>
        </w:rPr>
      </w:pPr>
      <w:bookmarkStart w:id="0" w:name="_GoBack"/>
      <w:bookmarkEnd w:id="0"/>
      <w:r>
        <w:rPr>
          <w:rFonts w:ascii="Tahoma" w:hAnsi="Tahoma" w:cs="Tahoma"/>
          <w:b/>
          <w:color w:val="0070C0"/>
          <w:sz w:val="18"/>
          <w:szCs w:val="18"/>
        </w:rPr>
        <w:t xml:space="preserve">Resolución </w:t>
      </w:r>
      <w:hyperlink r:id="rId6" w:history="1">
        <w:r w:rsidRPr="00F2634A">
          <w:rPr>
            <w:rFonts w:ascii="Tahoma" w:hAnsi="Tahoma" w:cs="Tahoma"/>
            <w:b/>
            <w:color w:val="0070C0"/>
            <w:sz w:val="18"/>
            <w:szCs w:val="18"/>
          </w:rPr>
          <w:t>NAC-DGERCGC16-00000067</w:t>
        </w:r>
      </w:hyperlink>
      <w:r w:rsidRPr="00F2634A">
        <w:rPr>
          <w:rFonts w:ascii="Tahoma" w:hAnsi="Tahoma" w:cs="Tahoma"/>
          <w:b/>
          <w:color w:val="0070C0"/>
          <w:sz w:val="18"/>
          <w:szCs w:val="18"/>
        </w:rPr>
        <w:t xml:space="preserve">: </w:t>
      </w:r>
      <w:r w:rsidRPr="00F2634A">
        <w:rPr>
          <w:rFonts w:ascii="Tahoma" w:hAnsi="Tahoma" w:cs="Tahoma"/>
          <w:sz w:val="18"/>
          <w:szCs w:val="18"/>
        </w:rPr>
        <w:t>Apruébese el “Formulario 102 para la declaración del Impuesto a la Renta de personas naturales y sucesiones indivisas obligadas a llevar contabilidad” y el “Formulario 102A para la declaración del Impuesto a la Renta de personas naturales y sucesiones indivisas no obligadas a llevar contabilidad”</w:t>
      </w:r>
    </w:p>
    <w:p w:rsidR="00AD70F8" w:rsidRPr="008906D3" w:rsidRDefault="00AD70F8" w:rsidP="00AD70F8">
      <w:pPr>
        <w:shd w:val="clear" w:color="auto" w:fill="FFFFFF"/>
        <w:spacing w:after="0" w:line="240" w:lineRule="auto"/>
        <w:jc w:val="center"/>
        <w:rPr>
          <w:rFonts w:ascii="Tahoma" w:hAnsi="Tahoma" w:cs="Tahoma"/>
          <w:color w:val="000000"/>
          <w:sz w:val="14"/>
          <w:szCs w:val="14"/>
          <w:shd w:val="clear" w:color="auto" w:fill="FFFFFF"/>
        </w:rPr>
      </w:pPr>
    </w:p>
    <w:p w:rsidR="00AD70F8" w:rsidRDefault="00AD70F8" w:rsidP="00AD70F8">
      <w:pPr>
        <w:shd w:val="clear" w:color="auto" w:fill="FFFFFF"/>
        <w:spacing w:after="0" w:line="240" w:lineRule="auto"/>
        <w:jc w:val="center"/>
        <w:rPr>
          <w:rFonts w:ascii="Tahoma" w:eastAsia="Times New Roman" w:hAnsi="Tahoma" w:cs="Tahoma"/>
          <w:b/>
          <w:bCs/>
          <w:color w:val="010000"/>
          <w:sz w:val="14"/>
          <w:szCs w:val="14"/>
          <w:lang w:eastAsia="es-ES"/>
        </w:rPr>
        <w:sectPr w:rsidR="00AD70F8" w:rsidSect="00AD70F8">
          <w:pgSz w:w="11906" w:h="16838"/>
          <w:pgMar w:top="1417" w:right="849" w:bottom="993" w:left="1276" w:header="708" w:footer="708" w:gutter="0"/>
          <w:cols w:space="282"/>
          <w:docGrid w:linePitch="360"/>
        </w:sectPr>
      </w:pPr>
    </w:p>
    <w:p w:rsidR="00AD70F8" w:rsidRPr="008906D3" w:rsidRDefault="00AD70F8" w:rsidP="00AD70F8">
      <w:pPr>
        <w:shd w:val="clear" w:color="auto" w:fill="FFFFFF"/>
        <w:spacing w:after="0" w:line="240" w:lineRule="auto"/>
        <w:jc w:val="center"/>
        <w:rPr>
          <w:rFonts w:ascii="Tahoma" w:eastAsia="Times New Roman" w:hAnsi="Tahoma" w:cs="Tahoma"/>
          <w:color w:val="010000"/>
          <w:sz w:val="14"/>
          <w:szCs w:val="14"/>
          <w:lang w:eastAsia="es-ES"/>
        </w:rPr>
      </w:pPr>
      <w:r w:rsidRPr="008906D3">
        <w:rPr>
          <w:rFonts w:ascii="Tahoma" w:eastAsia="Times New Roman" w:hAnsi="Tahoma" w:cs="Tahoma"/>
          <w:b/>
          <w:bCs/>
          <w:color w:val="010000"/>
          <w:sz w:val="14"/>
          <w:szCs w:val="14"/>
          <w:lang w:eastAsia="es-ES"/>
        </w:rPr>
        <w:lastRenderedPageBreak/>
        <w:t>Considerando: </w:t>
      </w:r>
      <w:r w:rsidRPr="008906D3">
        <w:rPr>
          <w:rFonts w:ascii="Tahoma" w:eastAsia="Times New Roman" w:hAnsi="Tahoma" w:cs="Tahoma"/>
          <w:b/>
          <w:bCs/>
          <w:color w:val="010000"/>
          <w:sz w:val="14"/>
          <w:szCs w:val="14"/>
          <w:lang w:eastAsia="es-ES"/>
        </w:rPr>
        <w:br/>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el artículo 83 de la Constitución de la República del Ecuador establece que son deberes y responsabilidades de los habitantes, acatar y cumplir con la Constitución, la ley y las decisiones legítimas de autoridad competente y pagar los tributos establecidos por ley;</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conforme el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300 </w:t>
      </w:r>
      <w:r w:rsidRPr="008906D3">
        <w:rPr>
          <w:rFonts w:ascii="Tahoma" w:eastAsia="Times New Roman" w:hAnsi="Tahoma" w:cs="Tahoma"/>
          <w:i/>
          <w:iCs/>
          <w:color w:val="010000"/>
          <w:sz w:val="14"/>
          <w:szCs w:val="14"/>
          <w:shd w:val="clear" w:color="auto" w:fill="FFFFFF"/>
          <w:lang w:eastAsia="es-ES"/>
        </w:rPr>
        <w:t>ibídem</w:t>
      </w:r>
      <w:r w:rsidRPr="008906D3">
        <w:rPr>
          <w:rFonts w:ascii="Tahoma" w:eastAsia="Times New Roman" w:hAnsi="Tahoma" w:cs="Tahoma"/>
          <w:color w:val="010000"/>
          <w:sz w:val="14"/>
          <w:szCs w:val="14"/>
          <w:shd w:val="clear" w:color="auto" w:fill="FFFFFF"/>
          <w:lang w:eastAsia="es-ES"/>
        </w:rPr>
        <w:t>, establece que el Estado garantizará que los servicios públicos y su provisión respondan a los principios de obligatoriedad, generalidad, uniformidad, eficiencia, responsabilidad, universalidad, accesibilidad, regularidad, continuidad y calidad;</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t>Que de acuerdo a lo previsto en el artículo 7 del Código Tributario, en concordancia con el artículo 8 de la Ley de Creación del Servicio de Rentas Internas, es facultad de la Dirección General expedir mediante resoluciones, circulares o disposiciones de carácter general y obligatorio, necesarias para la aplicación de las normas legales y reglamentarias;</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conforme lo manifiesta el artículo 73 del Código Tributario, la actuación de la Administración Tributaria deberá desarrollarse con arreglo a los principios de simplificación, celeridad y eficacia;</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los literales d) y e) del numeral 1 del artículo 96 del Código Tributario dispone que son deberes formales de los contribuyentes o responsables, presentar las declaraciones que correspondan y cumplir con los deberes específicos que la respectiva ley tributaria establece, respectivamente;</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el artículo 70 del Reglamento para la aplicación de la Ley de Régimen Tributario Interno, establece que la declaración del Impuesto a la Renta deberá efectuarse en la forma y contenido que, mediante resolución de carácter general defina la Directora o Director General del Servicio de Rentas Internas y,</w:t>
      </w:r>
    </w:p>
    <w:p w:rsidR="00AD70F8"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Que es deber de la Administración Tributaria emitir las disposiciones normativas necesarias para facilitar el cumplimiento de las obligaciones tributarias y deberes formales, así como, para fortalecer el control respecto de su adecuado y oportuno cumplimiento.</w:t>
      </w:r>
    </w:p>
    <w:p w:rsidR="00AD70F8" w:rsidRPr="008906D3" w:rsidRDefault="00AD70F8" w:rsidP="00AD70F8">
      <w:pPr>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t>En ejercicio de sus facultades legales,</w:t>
      </w:r>
    </w:p>
    <w:p w:rsidR="00AD70F8" w:rsidRDefault="00AD70F8" w:rsidP="00AD70F8">
      <w:pPr>
        <w:spacing w:after="0" w:line="240" w:lineRule="auto"/>
        <w:jc w:val="both"/>
        <w:rPr>
          <w:rFonts w:ascii="Tahoma" w:eastAsia="Times New Roman" w:hAnsi="Tahoma" w:cs="Tahoma"/>
          <w:b/>
          <w:bCs/>
          <w:color w:val="010000"/>
          <w:sz w:val="14"/>
          <w:szCs w:val="14"/>
          <w:shd w:val="clear" w:color="auto" w:fill="FFFFFF"/>
          <w:lang w:eastAsia="es-ES"/>
        </w:rPr>
      </w:pPr>
    </w:p>
    <w:p w:rsidR="00AD70F8" w:rsidRPr="008906D3" w:rsidRDefault="00AD70F8" w:rsidP="00AD70F8">
      <w:pPr>
        <w:spacing w:after="0" w:line="240" w:lineRule="auto"/>
        <w:jc w:val="center"/>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b/>
          <w:bCs/>
          <w:color w:val="010000"/>
          <w:sz w:val="14"/>
          <w:szCs w:val="14"/>
          <w:shd w:val="clear" w:color="auto" w:fill="FFFFFF"/>
          <w:lang w:eastAsia="es-ES"/>
        </w:rPr>
        <w:t>Resuelve:</w:t>
      </w: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i/>
          <w:iCs/>
          <w:color w:val="010000"/>
          <w:sz w:val="14"/>
          <w:szCs w:val="14"/>
          <w:shd w:val="clear" w:color="auto" w:fill="FFFFFF"/>
          <w:lang w:eastAsia="es-ES"/>
        </w:rPr>
        <w:t>Aprobar el “Formulario 102 para la declaración</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del Impuesto a la Renta de personas naturales y</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sucesiones indivisas obligadas a llevar contabilidad” y</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el “Formulario 102A para la declaración del Impuesto a</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la Renta de personas naturales y sucesiones indivisas no</w:t>
      </w:r>
      <w:r w:rsidRPr="008906D3">
        <w:rPr>
          <w:rFonts w:ascii="Tahoma" w:eastAsia="Times New Roman" w:hAnsi="Tahoma" w:cs="Tahoma"/>
          <w:color w:val="010000"/>
          <w:sz w:val="14"/>
          <w:szCs w:val="14"/>
          <w:shd w:val="clear" w:color="auto" w:fill="FFFFFF"/>
          <w:lang w:eastAsia="es-ES"/>
        </w:rPr>
        <w:t> </w:t>
      </w:r>
      <w:r w:rsidRPr="008906D3">
        <w:rPr>
          <w:rFonts w:ascii="Tahoma" w:eastAsia="Times New Roman" w:hAnsi="Tahoma" w:cs="Tahoma"/>
          <w:b/>
          <w:bCs/>
          <w:i/>
          <w:iCs/>
          <w:color w:val="010000"/>
          <w:sz w:val="14"/>
          <w:szCs w:val="14"/>
          <w:shd w:val="clear" w:color="auto" w:fill="FFFFFF"/>
          <w:lang w:eastAsia="es-ES"/>
        </w:rPr>
        <w:t>obligadas a llevar contabilidad” </w:t>
      </w:r>
      <w:r w:rsidRPr="008906D3">
        <w:rPr>
          <w:rFonts w:ascii="Tahoma" w:eastAsia="Times New Roman" w:hAnsi="Tahoma" w:cs="Tahoma"/>
          <w:b/>
          <w:bCs/>
          <w:i/>
          <w:iCs/>
          <w:color w:val="010000"/>
          <w:sz w:val="14"/>
          <w:szCs w:val="14"/>
          <w:shd w:val="clear" w:color="auto" w:fill="FFFFFF"/>
          <w:lang w:eastAsia="es-ES"/>
        </w:rPr>
        <w:br/>
      </w:r>
    </w:p>
    <w:p w:rsidR="00AD70F8" w:rsidRDefault="00AD70F8" w:rsidP="00AD70F8">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b/>
          <w:bCs/>
          <w:color w:val="010000"/>
          <w:sz w:val="14"/>
          <w:szCs w:val="14"/>
          <w:shd w:val="clear" w:color="auto" w:fill="FFFFFF"/>
          <w:lang w:eastAsia="es-ES"/>
        </w:rPr>
        <w:t>Artículo Único. Objeto.- </w:t>
      </w:r>
      <w:r w:rsidRPr="008906D3">
        <w:rPr>
          <w:rFonts w:ascii="Tahoma" w:eastAsia="Times New Roman" w:hAnsi="Tahoma" w:cs="Tahoma"/>
          <w:color w:val="010000"/>
          <w:sz w:val="14"/>
          <w:szCs w:val="14"/>
          <w:shd w:val="clear" w:color="auto" w:fill="FFFFFF"/>
          <w:lang w:eastAsia="es-ES"/>
        </w:rPr>
        <w:t>Apruébense los siguientes formularios:</w:t>
      </w:r>
      <w:r>
        <w:rPr>
          <w:rFonts w:ascii="Tahoma" w:eastAsia="Times New Roman" w:hAnsi="Tahoma" w:cs="Tahoma"/>
          <w:color w:val="010000"/>
          <w:sz w:val="14"/>
          <w:szCs w:val="14"/>
          <w:shd w:val="clear" w:color="auto" w:fill="FFFFFF"/>
          <w:lang w:eastAsia="es-ES"/>
        </w:rPr>
        <w:t xml:space="preserve"> </w:t>
      </w:r>
      <w:r w:rsidRPr="008906D3">
        <w:rPr>
          <w:rFonts w:ascii="Tahoma" w:eastAsia="Times New Roman" w:hAnsi="Tahoma" w:cs="Tahoma"/>
          <w:i/>
          <w:iCs/>
          <w:color w:val="010000"/>
          <w:sz w:val="14"/>
          <w:szCs w:val="14"/>
          <w:shd w:val="clear" w:color="auto" w:fill="FFFFFF"/>
          <w:lang w:eastAsia="es-ES"/>
        </w:rPr>
        <w:t>“Formulario 102 para la declaración del Impuesto a la Renta de personas naturales y sucesiones indivisas obligadas a llevar contabilidad” y el “Formulario 102A para la declaración del Impuesto a la Renta de personas naturales y sucesiones indivisas no obligadas a llevar contabilidad”, </w:t>
      </w:r>
      <w:r w:rsidRPr="008906D3">
        <w:rPr>
          <w:rFonts w:ascii="Tahoma" w:eastAsia="Times New Roman" w:hAnsi="Tahoma" w:cs="Tahoma"/>
          <w:color w:val="010000"/>
          <w:sz w:val="14"/>
          <w:szCs w:val="14"/>
          <w:shd w:val="clear" w:color="auto" w:fill="FFFFFF"/>
          <w:lang w:eastAsia="es-ES"/>
        </w:rPr>
        <w:t>anexos a la presente resolución y parte integrante de la misma.</w:t>
      </w:r>
    </w:p>
    <w:p w:rsidR="00AD70F8" w:rsidRDefault="00AD70F8" w:rsidP="00AD70F8">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Transitoria Única.- </w:t>
      </w:r>
      <w:r w:rsidRPr="008906D3">
        <w:rPr>
          <w:rFonts w:ascii="Tahoma" w:eastAsia="Times New Roman" w:hAnsi="Tahoma" w:cs="Tahoma"/>
          <w:color w:val="010000"/>
          <w:sz w:val="14"/>
          <w:szCs w:val="14"/>
          <w:shd w:val="clear" w:color="auto" w:fill="FFFFFF"/>
          <w:lang w:eastAsia="es-ES"/>
        </w:rPr>
        <w:t>Se podrá realizar la declaración del Impuesto a la Renta en el formulario aprobado en esta resolución a partir del 20 de febrero de 2016 y se la recibirá en los plazos que correspondan de conformidad con la normativa vigente.</w:t>
      </w:r>
    </w:p>
    <w:p w:rsidR="00AD70F8" w:rsidRDefault="00AD70F8" w:rsidP="00AD70F8">
      <w:pPr>
        <w:shd w:val="clear" w:color="auto" w:fill="FFFFFF"/>
        <w:spacing w:after="0" w:line="240" w:lineRule="auto"/>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Derogatoria Única.- </w:t>
      </w:r>
      <w:r w:rsidRPr="008906D3">
        <w:rPr>
          <w:rFonts w:ascii="Tahoma" w:eastAsia="Times New Roman" w:hAnsi="Tahoma" w:cs="Tahoma"/>
          <w:color w:val="010000"/>
          <w:sz w:val="14"/>
          <w:szCs w:val="14"/>
          <w:shd w:val="clear" w:color="auto" w:fill="FFFFFF"/>
          <w:lang w:eastAsia="es-ES"/>
        </w:rPr>
        <w:t>La Resolución NAC-DGERCGC15-</w:t>
      </w:r>
      <w:r w:rsidRPr="008906D3">
        <w:rPr>
          <w:rFonts w:ascii="Tahoma" w:eastAsia="Times New Roman" w:hAnsi="Tahoma" w:cs="Tahoma"/>
          <w:color w:val="010000"/>
          <w:sz w:val="14"/>
          <w:szCs w:val="14"/>
          <w:shd w:val="clear" w:color="auto" w:fill="FFFFFF"/>
          <w:lang w:eastAsia="es-ES"/>
        </w:rPr>
        <w:lastRenderedPageBreak/>
        <w:t>00000179, publicada en el Suplemento del Registro Oficial No. 455 de 10 de marzo de 2015.</w:t>
      </w:r>
    </w:p>
    <w:p w:rsidR="00AD70F8" w:rsidRPr="008906D3" w:rsidRDefault="00AD70F8" w:rsidP="00AD70F8">
      <w:pPr>
        <w:shd w:val="clear" w:color="auto" w:fill="FFFFFF"/>
        <w:spacing w:after="0" w:line="240" w:lineRule="auto"/>
        <w:jc w:val="both"/>
        <w:rPr>
          <w:rFonts w:ascii="Tahoma" w:hAnsi="Tahoma" w:cs="Tahoma"/>
          <w:sz w:val="14"/>
          <w:szCs w:val="14"/>
        </w:rPr>
      </w:pPr>
      <w:r w:rsidRPr="008906D3">
        <w:rPr>
          <w:rFonts w:ascii="Tahoma" w:eastAsia="Times New Roman" w:hAnsi="Tahoma" w:cs="Tahoma"/>
          <w:color w:val="010000"/>
          <w:sz w:val="14"/>
          <w:szCs w:val="14"/>
          <w:shd w:val="clear" w:color="auto" w:fill="FFFFFF"/>
          <w:lang w:eastAsia="es-ES"/>
        </w:rPr>
        <w:br/>
      </w:r>
      <w:r w:rsidRPr="008906D3">
        <w:rPr>
          <w:rFonts w:ascii="Tahoma" w:eastAsia="Times New Roman" w:hAnsi="Tahoma" w:cs="Tahoma"/>
          <w:b/>
          <w:bCs/>
          <w:color w:val="010000"/>
          <w:sz w:val="14"/>
          <w:szCs w:val="14"/>
          <w:shd w:val="clear" w:color="auto" w:fill="FFFFFF"/>
          <w:lang w:eastAsia="es-ES"/>
        </w:rPr>
        <w:t>Disposición Final.- </w:t>
      </w:r>
      <w:r w:rsidRPr="008906D3">
        <w:rPr>
          <w:rFonts w:ascii="Tahoma" w:eastAsia="Times New Roman" w:hAnsi="Tahoma" w:cs="Tahoma"/>
          <w:color w:val="010000"/>
          <w:sz w:val="14"/>
          <w:szCs w:val="14"/>
          <w:shd w:val="clear" w:color="auto" w:fill="FFFFFF"/>
          <w:lang w:eastAsia="es-ES"/>
        </w:rPr>
        <w:t>Esta resolución entrará en vigencia a partir del día siguiente al de su publicación en el Registro Oficial.</w:t>
      </w:r>
    </w:p>
    <w:p w:rsidR="00AD70F8" w:rsidRPr="008906D3" w:rsidRDefault="00AD70F8" w:rsidP="00AD70F8">
      <w:pPr>
        <w:shd w:val="clear" w:color="auto" w:fill="FFFFFF"/>
        <w:spacing w:after="0" w:line="240" w:lineRule="auto"/>
        <w:jc w:val="both"/>
        <w:rPr>
          <w:rFonts w:ascii="Tahoma" w:eastAsia="Times New Roman" w:hAnsi="Tahoma" w:cs="Tahoma"/>
          <w:b/>
          <w:bCs/>
          <w:color w:val="000000"/>
          <w:sz w:val="14"/>
          <w:szCs w:val="14"/>
          <w:lang w:eastAsia="es-ES"/>
        </w:rPr>
      </w:pPr>
    </w:p>
    <w:p w:rsidR="00AD70F8" w:rsidRPr="00F2634A" w:rsidRDefault="00AD70F8" w:rsidP="00AD70F8">
      <w:pPr>
        <w:shd w:val="clear" w:color="auto" w:fill="FFFFFF"/>
        <w:spacing w:after="0" w:line="240" w:lineRule="auto"/>
        <w:jc w:val="right"/>
        <w:rPr>
          <w:rFonts w:ascii="Tahoma" w:eastAsia="Times New Roman" w:hAnsi="Tahoma" w:cs="Tahoma"/>
          <w:i/>
          <w:color w:val="000000"/>
          <w:sz w:val="14"/>
          <w:szCs w:val="14"/>
          <w:lang w:eastAsia="es-ES"/>
        </w:rPr>
        <w:sectPr w:rsidR="00AD70F8" w:rsidRPr="00F2634A" w:rsidSect="00F2634A">
          <w:type w:val="continuous"/>
          <w:pgSz w:w="11906" w:h="16838"/>
          <w:pgMar w:top="1417" w:right="849" w:bottom="993" w:left="1276" w:header="708" w:footer="708" w:gutter="0"/>
          <w:cols w:num="2" w:space="282"/>
          <w:docGrid w:linePitch="360"/>
        </w:sectPr>
      </w:pPr>
      <w:r w:rsidRPr="00F2634A">
        <w:rPr>
          <w:rFonts w:ascii="Tahoma" w:eastAsia="Times New Roman" w:hAnsi="Tahoma" w:cs="Tahoma"/>
          <w:i/>
          <w:color w:val="000000"/>
          <w:sz w:val="14"/>
          <w:szCs w:val="14"/>
          <w:lang w:eastAsia="es-ES"/>
        </w:rPr>
        <w:t>(</w:t>
      </w:r>
      <w:r w:rsidRPr="00F2634A">
        <w:rPr>
          <w:rFonts w:ascii="Tahoma" w:eastAsia="Times New Roman" w:hAnsi="Tahoma" w:cs="Tahoma"/>
          <w:b/>
          <w:i/>
          <w:color w:val="000000"/>
          <w:sz w:val="14"/>
          <w:szCs w:val="14"/>
          <w:lang w:eastAsia="es-ES"/>
        </w:rPr>
        <w:t>Nota:</w:t>
      </w:r>
      <w:r w:rsidRPr="00F2634A">
        <w:rPr>
          <w:rFonts w:ascii="Tahoma" w:eastAsia="Times New Roman" w:hAnsi="Tahoma" w:cs="Tahoma"/>
          <w:i/>
          <w:color w:val="000000"/>
          <w:sz w:val="14"/>
          <w:szCs w:val="14"/>
          <w:lang w:eastAsia="es-ES"/>
        </w:rPr>
        <w:t xml:space="preserve"> Los nuevos formularios los puede descargar de la página www.sri.gob.ec)</w:t>
      </w:r>
    </w:p>
    <w:p w:rsidR="00AD70F8" w:rsidRDefault="00AD70F8" w:rsidP="00AD70F8">
      <w:pPr>
        <w:shd w:val="clear" w:color="auto" w:fill="FFFFFF"/>
        <w:spacing w:after="0" w:line="240" w:lineRule="auto"/>
        <w:jc w:val="center"/>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lastRenderedPageBreak/>
        <w:br/>
      </w:r>
    </w:p>
    <w:p w:rsidR="00AD70F8" w:rsidRDefault="00AD70F8" w:rsidP="00AD70F8">
      <w:pPr>
        <w:shd w:val="clear" w:color="auto" w:fill="FFFFFF"/>
        <w:spacing w:after="0" w:line="240" w:lineRule="auto"/>
        <w:jc w:val="center"/>
        <w:rPr>
          <w:rFonts w:ascii="Tahoma" w:eastAsia="Times New Roman" w:hAnsi="Tahoma" w:cs="Tahoma"/>
          <w:color w:val="000000"/>
          <w:sz w:val="14"/>
          <w:szCs w:val="14"/>
          <w:lang w:eastAsia="es-ES"/>
        </w:rPr>
      </w:pPr>
    </w:p>
    <w:p w:rsidR="008E49C1" w:rsidRDefault="00AD70F8"/>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9.15pt;height:9.15pt" o:bullet="t">
        <v:imagedata r:id="rId1" o:title="BD15059_"/>
      </v:shape>
    </w:pict>
  </w:numPicBullet>
  <w:abstractNum w:abstractNumId="0">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0F8"/>
    <w:rsid w:val="00323ADC"/>
    <w:rsid w:val="0064604D"/>
    <w:rsid w:val="00AD70F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0F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70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0F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70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51285')"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3981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2016-03-21T16:15:00Z</dcterms:created>
  <dcterms:modified xsi:type="dcterms:W3CDTF">2016-03-21T16:16:00Z</dcterms:modified>
</cp:coreProperties>
</file>